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51701">
      <w:pPr>
        <w:jc w:val="both"/>
        <w:rPr>
          <w:b/>
          <w:sz w:val="28"/>
          <w:szCs w:val="28"/>
        </w:rPr>
      </w:pPr>
      <w:bookmarkStart w:id="0" w:name="_GoBack"/>
      <w:bookmarkEnd w:id="0"/>
    </w:p>
    <w:p w14:paraId="6F990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5D0A3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районного конкурса лидеров детских общественных объединений «Лидер – 2024»</w:t>
      </w:r>
    </w:p>
    <w:p w14:paraId="6B2DCAD9">
      <w:pPr>
        <w:jc w:val="center"/>
        <w:rPr>
          <w:sz w:val="28"/>
          <w:szCs w:val="28"/>
        </w:rPr>
      </w:pPr>
    </w:p>
    <w:p w14:paraId="56CBC9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14:paraId="62F5E9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Настоящее положение определяет статус, цели и задачи районного конкурса лидеров детских общественных объединений «Лидер – 2024» (далее – Конкурс), порядок проведения и финансирования.</w:t>
      </w:r>
    </w:p>
    <w:p w14:paraId="0F092117">
      <w:pPr>
        <w:pStyle w:val="5"/>
        <w:numPr>
          <w:ilvl w:val="1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конкурса: формирование активной гражданской позиции учащихся. </w:t>
      </w:r>
    </w:p>
    <w:p w14:paraId="6C473A0E">
      <w:pPr>
        <w:pStyle w:val="5"/>
        <w:numPr>
          <w:ilvl w:val="1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Конкурса являются:</w:t>
      </w:r>
    </w:p>
    <w:p w14:paraId="038B2EF7"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внимания молодых граждан к проблемам местного сообщества;</w:t>
      </w:r>
    </w:p>
    <w:p w14:paraId="0D956139"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приобретения опыта успешного участия в общественной жизни, гражданских инициативах, социально значимых проектах;</w:t>
      </w:r>
    </w:p>
    <w:p w14:paraId="36BF709E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культуры делового взаимодействия и престижа деятельности лидеров детских объединений;</w:t>
      </w:r>
    </w:p>
    <w:p w14:paraId="69503DFB">
      <w:pPr>
        <w:jc w:val="both"/>
        <w:rPr>
          <w:sz w:val="28"/>
          <w:szCs w:val="28"/>
        </w:rPr>
      </w:pPr>
      <w:r>
        <w:rPr>
          <w:sz w:val="28"/>
          <w:szCs w:val="28"/>
        </w:rPr>
        <w:t>- выявление, оценка и распространение успешного опыта работы лидеров детских объединений.</w:t>
      </w:r>
    </w:p>
    <w:p w14:paraId="4666A53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Руководство и организация</w:t>
      </w:r>
    </w:p>
    <w:p w14:paraId="6ADC2E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Учредителем районного конкурса лидеров детских общественных объединений «Лидер – 2024» является комитет образования администрации муниципального образования Тосненский район Ленинградской области. Общее руководство подготовкой и проведением Конкурса осуществляется </w:t>
      </w:r>
      <w:r>
        <w:rPr>
          <w:sz w:val="28"/>
          <w:szCs w:val="28"/>
          <w:lang w:eastAsia="en-US"/>
        </w:rPr>
        <w:t>МБОУ ДО «Тосненский районный ДЮЦ».</w:t>
      </w:r>
    </w:p>
    <w:p w14:paraId="1C012A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Участники</w:t>
      </w:r>
    </w:p>
    <w:p w14:paraId="73B6A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 В Конкурсе принимают участие:</w:t>
      </w:r>
    </w:p>
    <w:p w14:paraId="419F2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обучающиеся общеобразовательных учреждений и учреждений дополнительного образования Тосненского района в возрасте от 11 до 17 лет.  Образовательное учреждение имеет право представить на конкурс </w:t>
      </w:r>
      <w:r>
        <w:rPr>
          <w:b/>
          <w:bCs/>
          <w:sz w:val="28"/>
          <w:szCs w:val="28"/>
        </w:rPr>
        <w:t>2 (двух)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участников</w:t>
      </w:r>
      <w:r>
        <w:rPr>
          <w:sz w:val="28"/>
          <w:szCs w:val="28"/>
        </w:rPr>
        <w:t xml:space="preserve"> по каждой возрастной категории. </w:t>
      </w:r>
    </w:p>
    <w:p w14:paraId="12135F0A">
      <w:pPr>
        <w:jc w:val="both"/>
        <w:rPr>
          <w:sz w:val="28"/>
          <w:szCs w:val="28"/>
        </w:rPr>
      </w:pPr>
      <w:r>
        <w:rPr>
          <w:sz w:val="28"/>
          <w:szCs w:val="28"/>
        </w:rPr>
        <w:t>3.2 Участники Конкурса распределяются по возрастным категориям:</w:t>
      </w:r>
    </w:p>
    <w:p w14:paraId="0C31B3A4">
      <w:pPr>
        <w:jc w:val="both"/>
        <w:rPr>
          <w:sz w:val="28"/>
          <w:szCs w:val="28"/>
        </w:rPr>
      </w:pPr>
      <w:r>
        <w:rPr>
          <w:sz w:val="28"/>
          <w:szCs w:val="28"/>
        </w:rPr>
        <w:t>- от 11 – 14 лет (включительно);</w:t>
      </w:r>
    </w:p>
    <w:p w14:paraId="69C5461C">
      <w:pPr>
        <w:jc w:val="both"/>
        <w:rPr>
          <w:sz w:val="28"/>
          <w:szCs w:val="28"/>
        </w:rPr>
      </w:pPr>
      <w:r>
        <w:rPr>
          <w:sz w:val="28"/>
          <w:szCs w:val="28"/>
        </w:rPr>
        <w:t>- от 15 – 17 лет (включительно).</w:t>
      </w:r>
    </w:p>
    <w:p w14:paraId="147317B8">
      <w:pPr>
        <w:widowControl w:val="0"/>
        <w:tabs>
          <w:tab w:val="left" w:pos="6240"/>
        </w:tabs>
        <w:autoSpaceDE w:val="0"/>
        <w:autoSpaceDN w:val="0"/>
        <w:adjustRightInd w:val="0"/>
        <w:ind w:right="284"/>
        <w:rPr>
          <w:sz w:val="28"/>
          <w:szCs w:val="28"/>
        </w:rPr>
      </w:pPr>
    </w:p>
    <w:p w14:paraId="7A76F4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и сроки проведения Конкурса</w:t>
      </w:r>
    </w:p>
    <w:p w14:paraId="4083E21C">
      <w:pPr>
        <w:numPr>
          <w:ilvl w:val="1"/>
          <w:numId w:val="2"/>
        </w:numPr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Этапы проведения Конкурса:</w:t>
      </w:r>
      <w:r>
        <w:rPr>
          <w:rFonts w:ascii="Calibri" w:hAnsi="Calibri" w:eastAsia="Segoe UI Emoji" w:cs="Segoe UI Emoji"/>
          <w:sz w:val="28"/>
          <w:szCs w:val="28"/>
        </w:rPr>
        <w:t xml:space="preserve"> </w:t>
      </w:r>
    </w:p>
    <w:p w14:paraId="1E861707">
      <w:pPr>
        <w:contextualSpacing/>
        <w:jc w:val="both"/>
        <w:rPr>
          <w:b/>
          <w:color w:val="000000"/>
          <w:sz w:val="28"/>
          <w:szCs w:val="28"/>
        </w:rPr>
      </w:pPr>
    </w:p>
    <w:p w14:paraId="192E2CA1">
      <w:pPr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 этап: «Самопрезентация» </w:t>
      </w:r>
      <w:r>
        <w:rPr>
          <w:b/>
          <w:bCs/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теме «Моя гражданская позиция – я лидер».</w:t>
      </w:r>
    </w:p>
    <w:p w14:paraId="1B72E219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Самопрезентация участника в свободной форме (</w:t>
      </w:r>
      <w:r>
        <w:rPr>
          <w:b/>
          <w:bCs/>
          <w:sz w:val="28"/>
          <w:szCs w:val="28"/>
        </w:rPr>
        <w:t>не</w:t>
      </w:r>
      <w:r>
        <w:rPr>
          <w:b/>
          <w:bCs/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>более 3-х минут</w:t>
      </w:r>
      <w:r>
        <w:rPr>
          <w:sz w:val="28"/>
          <w:szCs w:val="28"/>
        </w:rPr>
        <w:t>). Приветствуется использование разнообразных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выразительных средств, презентации, видеоряда и т.д. </w:t>
      </w:r>
    </w:p>
    <w:p w14:paraId="2158A91C">
      <w:pPr>
        <w:jc w:val="both"/>
        <w:rPr>
          <w:sz w:val="28"/>
          <w:szCs w:val="28"/>
        </w:rPr>
      </w:pPr>
      <w:r>
        <w:rPr>
          <w:sz w:val="28"/>
          <w:szCs w:val="28"/>
        </w:rPr>
        <w:t>В «Самопрезентации» отразить следующие моменты:</w:t>
      </w:r>
    </w:p>
    <w:p w14:paraId="615C4A59">
      <w:pPr>
        <w:numPr>
          <w:ilvl w:val="0"/>
          <w:numId w:val="3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Название, цель, задачи детской общественной организации, которую представляет конкурсант.</w:t>
      </w:r>
    </w:p>
    <w:p w14:paraId="2C9D147F">
      <w:pPr>
        <w:numPr>
          <w:ilvl w:val="0"/>
          <w:numId w:val="3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Краткое представление конкурсанта (почему я в данной организации, моя роль в данной организации).</w:t>
      </w:r>
    </w:p>
    <w:p w14:paraId="21280FA6">
      <w:pPr>
        <w:numPr>
          <w:ilvl w:val="0"/>
          <w:numId w:val="3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Личные достижения конкурсанта (я принял участие, организовал, провел, сделал … возможен исторический экскурс – развитие лидера).</w:t>
      </w:r>
    </w:p>
    <w:p w14:paraId="18ED2009">
      <w:pPr>
        <w:numPr>
          <w:ilvl w:val="0"/>
          <w:numId w:val="3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Дополнительная информация.  </w:t>
      </w:r>
    </w:p>
    <w:p w14:paraId="5BF2ACBE">
      <w:pPr>
        <w:contextualSpacing/>
        <w:jc w:val="both"/>
        <w:rPr>
          <w:b/>
          <w:color w:val="000000"/>
          <w:sz w:val="28"/>
          <w:szCs w:val="28"/>
        </w:rPr>
      </w:pPr>
    </w:p>
    <w:p w14:paraId="07D9ED10">
      <w:pPr>
        <w:numPr>
          <w:ilvl w:val="0"/>
          <w:numId w:val="1"/>
        </w:num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этап: «Представление проекта»</w:t>
      </w:r>
    </w:p>
    <w:p w14:paraId="4E6831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проекта непосредственным участником или организатором которого является конкурсант продолжительностью </w:t>
      </w:r>
      <w:r>
        <w:rPr>
          <w:b/>
          <w:bCs/>
          <w:sz w:val="28"/>
          <w:szCs w:val="28"/>
        </w:rPr>
        <w:t>не более 7-ми минут</w:t>
      </w:r>
      <w:r>
        <w:rPr>
          <w:sz w:val="28"/>
          <w:szCs w:val="28"/>
        </w:rPr>
        <w:t xml:space="preserve">. В качестве визуального дополнения может быть использовано мультимедийное сопровождение проекта, выполненное в программе «Power Point», </w:t>
      </w:r>
      <w:r>
        <w:rPr>
          <w:b/>
          <w:bCs/>
          <w:sz w:val="28"/>
          <w:szCs w:val="28"/>
        </w:rPr>
        <w:t>в количестве слайдов не более 20,</w:t>
      </w:r>
      <w:r>
        <w:rPr>
          <w:sz w:val="28"/>
          <w:szCs w:val="28"/>
        </w:rPr>
        <w:t xml:space="preserve"> может содержать схемы,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таблицы, фотографии мероприятий, проведенных совместно с другими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организациями.</w:t>
      </w:r>
    </w:p>
    <w:p w14:paraId="0E4CD355">
      <w:pPr>
        <w:jc w:val="both"/>
        <w:rPr>
          <w:sz w:val="28"/>
          <w:szCs w:val="28"/>
        </w:rPr>
      </w:pPr>
      <w:r>
        <w:rPr>
          <w:sz w:val="28"/>
          <w:szCs w:val="28"/>
        </w:rPr>
        <w:t>Устная презентация должна содержать:</w:t>
      </w:r>
    </w:p>
    <w:p w14:paraId="34542FA2">
      <w:pPr>
        <w:jc w:val="both"/>
        <w:rPr>
          <w:sz w:val="28"/>
          <w:szCs w:val="28"/>
        </w:rPr>
      </w:pPr>
      <w:r>
        <w:rPr>
          <w:sz w:val="28"/>
          <w:szCs w:val="28"/>
        </w:rPr>
        <w:t>- обоснование актуальности проекта;</w:t>
      </w:r>
    </w:p>
    <w:p w14:paraId="1CB425D5">
      <w:pPr>
        <w:jc w:val="both"/>
        <w:rPr>
          <w:sz w:val="28"/>
          <w:szCs w:val="28"/>
        </w:rPr>
      </w:pPr>
      <w:r>
        <w:rPr>
          <w:sz w:val="28"/>
          <w:szCs w:val="28"/>
        </w:rPr>
        <w:t>- цель, задачи, ожидаемый результат и описание целевой аудитории проекта;</w:t>
      </w:r>
    </w:p>
    <w:p w14:paraId="461C1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описание хода реализации проекта; </w:t>
      </w:r>
    </w:p>
    <w:p w14:paraId="3EA74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 достигнутого результата по итогам реализации проекта; </w:t>
      </w:r>
    </w:p>
    <w:p w14:paraId="32D1908C">
      <w:pPr>
        <w:jc w:val="both"/>
        <w:rPr>
          <w:sz w:val="28"/>
          <w:szCs w:val="28"/>
        </w:rPr>
      </w:pPr>
      <w:r>
        <w:rPr>
          <w:sz w:val="28"/>
          <w:szCs w:val="28"/>
        </w:rPr>
        <w:t>- обоснование перспективы развития проекта.</w:t>
      </w:r>
    </w:p>
    <w:p w14:paraId="2CA315F0">
      <w:pPr>
        <w:jc w:val="both"/>
        <w:rPr>
          <w:sz w:val="28"/>
          <w:szCs w:val="28"/>
        </w:rPr>
      </w:pPr>
    </w:p>
    <w:p w14:paraId="078D722E">
      <w:pPr>
        <w:jc w:val="both"/>
        <w:rPr>
          <w:sz w:val="28"/>
          <w:szCs w:val="28"/>
        </w:rPr>
      </w:pPr>
      <w:r>
        <w:rPr>
          <w:sz w:val="28"/>
          <w:szCs w:val="28"/>
        </w:rPr>
        <w:t>На устной презентаций обучающиеся должны продемонстрировать знание содержания выбранной проблемы, умение компетентно представить вариант собственного ее решения, аргументировано отвечать на вопросы, рассказать о практических результатах своей деятельности.</w:t>
      </w:r>
    </w:p>
    <w:p w14:paraId="586207F4">
      <w:pPr>
        <w:rPr>
          <w:sz w:val="28"/>
          <w:szCs w:val="28"/>
        </w:rPr>
      </w:pPr>
    </w:p>
    <w:p w14:paraId="43D8132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Проекты должны соответствовать одному из следующих направлений:</w:t>
      </w:r>
    </w:p>
    <w:p w14:paraId="53638E24">
      <w:pPr>
        <w:rPr>
          <w:sz w:val="28"/>
          <w:szCs w:val="28"/>
        </w:rPr>
      </w:pPr>
    </w:p>
    <w:p w14:paraId="2D50E62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«Сохранение и развитие культурного и исторического наследия»</w:t>
      </w:r>
    </w:p>
    <w:p w14:paraId="139A2F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Номинация включает проекты, направленные на сохранение культурного и исторического наследия народов Российской Федерации, возрождение и развитие народных промыслов, благоустройство территорий, парков, природных зон и др., вовлечение сообщества в развитие территории, в том числе с использованием механизмов капитализации культурного наследия; </w:t>
      </w:r>
    </w:p>
    <w:p w14:paraId="1D155B3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«Развитие практик общественного управления»</w:t>
      </w:r>
    </w:p>
    <w:p w14:paraId="575A0AD3">
      <w:pPr>
        <w:jc w:val="both"/>
        <w:rPr>
          <w:sz w:val="28"/>
          <w:szCs w:val="28"/>
        </w:rPr>
      </w:pPr>
      <w:r>
        <w:rPr>
          <w:sz w:val="28"/>
          <w:szCs w:val="28"/>
        </w:rPr>
        <w:t>Номинация включает проекты, способствующие вовлечению граждан в политическую жизнь, становлению гражданского общества и институтов самоуправления, развитию территориального общественного самоуправления;</w:t>
      </w:r>
    </w:p>
    <w:p w14:paraId="345E2E6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«Развитие добровольческих практик»</w:t>
      </w:r>
    </w:p>
    <w:p w14:paraId="1C27C30C">
      <w:pPr>
        <w:jc w:val="both"/>
        <w:rPr>
          <w:sz w:val="28"/>
          <w:szCs w:val="28"/>
        </w:rPr>
      </w:pPr>
      <w:r>
        <w:rPr>
          <w:sz w:val="28"/>
          <w:szCs w:val="28"/>
        </w:rPr>
        <w:t>Номинация включает проекты, в том числе волонтерские, направленные на решение социокультурных, социально- экономических проблем современности;</w:t>
      </w:r>
    </w:p>
    <w:p w14:paraId="3C7266B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«Социальное предпринимательство»</w:t>
      </w:r>
    </w:p>
    <w:p w14:paraId="0BDB8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Номинация включает проекты, направленные на развитие молодежных бизнес-инициатив в сфере социального предпринимательства; </w:t>
      </w:r>
    </w:p>
    <w:p w14:paraId="7FB069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«Инженерно-технический проект»</w:t>
      </w:r>
    </w:p>
    <w:p w14:paraId="2DD488C5">
      <w:pPr>
        <w:rPr>
          <w:sz w:val="28"/>
          <w:szCs w:val="28"/>
        </w:rPr>
      </w:pPr>
      <w:r>
        <w:rPr>
          <w:sz w:val="28"/>
          <w:szCs w:val="28"/>
        </w:rPr>
        <w:t xml:space="preserve">Номинация включает проекты, направленные на развитие науки и технологий в России, на решение конкретных гуманитарных и социальных проблем при помощи технических изобретений и программных продуктов; </w:t>
      </w:r>
    </w:p>
    <w:p w14:paraId="4D8FA7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«Развитие финансовой и правовой грамотности»</w:t>
      </w:r>
    </w:p>
    <w:p w14:paraId="1B1EE94A">
      <w:pPr>
        <w:rPr>
          <w:sz w:val="28"/>
          <w:szCs w:val="28"/>
        </w:rPr>
      </w:pPr>
      <w:r>
        <w:rPr>
          <w:sz w:val="28"/>
          <w:szCs w:val="28"/>
        </w:rPr>
        <w:t xml:space="preserve">Номинация включает проекты, направленные на формирование и развитие навыков финансовой грамотности, обеспечивающие финансовую стабильность и финансовую безопасность различных социальных групп населения; проекты, направленные на формирование и развитие навыков правовой грамотности у различных социальных групп населения, проекты в сфере защиты прав и свобод человека и гражданина, в том числе при организации предпринимательской деятельности. </w:t>
      </w:r>
    </w:p>
    <w:p w14:paraId="0BE883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«Зелёные финансы»</w:t>
      </w:r>
    </w:p>
    <w:p w14:paraId="72188AA8">
      <w:pPr>
        <w:rPr>
          <w:sz w:val="28"/>
          <w:szCs w:val="28"/>
        </w:rPr>
      </w:pPr>
      <w:r>
        <w:rPr>
          <w:sz w:val="28"/>
          <w:szCs w:val="28"/>
        </w:rPr>
        <w:t xml:space="preserve"> Номинация включает проекты, формирующие предпринимательскую и финансовую грамотность, направленные на воспитание культуры ответственного инвестирования в компании с большой долей экологических и климатических эффектов, стимулирующие ESG-переход – привлечение средств в социальные и природоохранные программы, социальное развитие и корпоративное управление. </w:t>
      </w:r>
    </w:p>
    <w:p w14:paraId="328C3E2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«Устойчивое развитие»</w:t>
      </w:r>
    </w:p>
    <w:p w14:paraId="49392008">
      <w:pPr>
        <w:rPr>
          <w:sz w:val="28"/>
          <w:szCs w:val="28"/>
        </w:rPr>
      </w:pPr>
      <w:r>
        <w:rPr>
          <w:sz w:val="28"/>
          <w:szCs w:val="28"/>
        </w:rPr>
        <w:t>Номинация включает проекты, направленные на достижение одной из 17-ти целей устойчивого развития, утвержденного на саммите ООН 25 сентября 2015 года в программе «Преобразование нашего мира: Повестка дня в области устойчивого развития на период до 2030 года».</w:t>
      </w:r>
    </w:p>
    <w:p w14:paraId="2F8E9FC9">
      <w:pPr>
        <w:jc w:val="both"/>
        <w:rPr>
          <w:b/>
          <w:bCs/>
          <w:color w:val="ED7D31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4.2 Конкурс проводится </w:t>
      </w:r>
      <w:r>
        <w:rPr>
          <w:b/>
          <w:sz w:val="28"/>
          <w:szCs w:val="28"/>
        </w:rPr>
        <w:t>17 января 2024 года в МБОУ ДО «Тосненский ДЮЦ» по адресу: г. Тосно, пр. Ленина, д.42,</w:t>
      </w:r>
      <w:r>
        <w:rPr>
          <w:color w:val="ED7D3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начало в 10:00.</w:t>
      </w:r>
    </w:p>
    <w:p w14:paraId="0D94A36F">
      <w:pPr>
        <w:jc w:val="both"/>
        <w:rPr>
          <w:sz w:val="28"/>
          <w:szCs w:val="28"/>
        </w:rPr>
      </w:pPr>
      <w:r>
        <w:rPr>
          <w:sz w:val="28"/>
          <w:szCs w:val="28"/>
        </w:rPr>
        <w:t>4.3. Для участия в Конкурсе необходимо предоставить следующий пакет документов в формате Word:</w:t>
      </w:r>
    </w:p>
    <w:p w14:paraId="1A4EA2C2">
      <w:pPr>
        <w:jc w:val="both"/>
        <w:rPr>
          <w:sz w:val="28"/>
          <w:szCs w:val="28"/>
        </w:rPr>
      </w:pPr>
      <w:r>
        <w:rPr>
          <w:sz w:val="28"/>
          <w:szCs w:val="28"/>
        </w:rPr>
        <w:t>- заявка (приложение № 1);</w:t>
      </w:r>
    </w:p>
    <w:p w14:paraId="55C6A040">
      <w:pPr>
        <w:jc w:val="both"/>
        <w:rPr>
          <w:color w:val="ED7D31"/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 (приложение № 2).</w:t>
      </w:r>
    </w:p>
    <w:p w14:paraId="3FFEA4C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Документы в одном архивном файле rar или zip направляются на электронный адрес </w:t>
      </w:r>
      <w:r>
        <w:fldChar w:fldCharType="begin"/>
      </w:r>
      <w:r>
        <w:instrText xml:space="preserve"> HYPERLINK "mailto:org.mas.otd@mail.ru" </w:instrText>
      </w:r>
      <w:r>
        <w:fldChar w:fldCharType="separate"/>
      </w:r>
      <w:r>
        <w:rPr>
          <w:color w:val="0000FF"/>
          <w:sz w:val="28"/>
          <w:szCs w:val="28"/>
          <w:u w:val="single"/>
        </w:rPr>
        <w:t>org.mas.otd@mail.ru</w:t>
      </w:r>
      <w:r>
        <w:rPr>
          <w:color w:val="0000FF"/>
          <w:sz w:val="28"/>
          <w:szCs w:val="28"/>
          <w:u w:val="single"/>
        </w:rPr>
        <w:fldChar w:fldCharType="end"/>
      </w:r>
      <w:r>
        <w:rPr>
          <w:sz w:val="28"/>
          <w:szCs w:val="28"/>
        </w:rPr>
        <w:t xml:space="preserve"> (с пометкой «Лидер 2024») в срок до </w:t>
      </w:r>
      <w:r>
        <w:rPr>
          <w:b/>
          <w:sz w:val="28"/>
          <w:szCs w:val="28"/>
        </w:rPr>
        <w:t>12 января 2024 года.</w:t>
      </w:r>
    </w:p>
    <w:p w14:paraId="2704EF04">
      <w:pPr>
        <w:jc w:val="both"/>
        <w:rPr>
          <w:b/>
          <w:sz w:val="28"/>
          <w:szCs w:val="28"/>
        </w:rPr>
      </w:pPr>
    </w:p>
    <w:p w14:paraId="03523C2E">
      <w:pPr>
        <w:tabs>
          <w:tab w:val="left" w:pos="52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Состав жюри и критерии оценки.</w:t>
      </w:r>
    </w:p>
    <w:p w14:paraId="04DB6E6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5.1. </w:t>
      </w:r>
      <w:r>
        <w:rPr>
          <w:sz w:val="28"/>
          <w:szCs w:val="28"/>
        </w:rPr>
        <w:t>Состав жюри формируется из представителей общественных организаций, комитета образования, исполнительных органов муниципальных образований, учреждений культуры и спорта и утверждается приказом директора МБОУ ДО «Тосненский районный ДЮЦ»</w:t>
      </w:r>
    </w:p>
    <w:p w14:paraId="71264585">
      <w:pPr>
        <w:jc w:val="both"/>
        <w:rPr>
          <w:b/>
          <w:sz w:val="28"/>
          <w:szCs w:val="28"/>
        </w:rPr>
      </w:pPr>
    </w:p>
    <w:p w14:paraId="6445FE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5.2.1. Критерии оценки </w:t>
      </w:r>
      <w:r>
        <w:rPr>
          <w:b/>
          <w:color w:val="000000"/>
          <w:sz w:val="28"/>
          <w:szCs w:val="28"/>
        </w:rPr>
        <w:t>«Самопрезентации»</w:t>
      </w:r>
      <w:r>
        <w:rPr>
          <w:sz w:val="28"/>
          <w:szCs w:val="28"/>
        </w:rPr>
        <w:t>:</w:t>
      </w:r>
    </w:p>
    <w:p w14:paraId="6C48688C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общая культура выступления - 0-5 баллов;</w:t>
      </w:r>
    </w:p>
    <w:p w14:paraId="30DFAF0F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полнота предоставления информации - 0-5 баллов;</w:t>
      </w:r>
    </w:p>
    <w:p w14:paraId="104B9105">
      <w:pPr>
        <w:jc w:val="both"/>
        <w:rPr>
          <w:sz w:val="28"/>
          <w:szCs w:val="28"/>
        </w:rPr>
      </w:pPr>
      <w:r>
        <w:rPr>
          <w:sz w:val="28"/>
          <w:szCs w:val="28"/>
        </w:rPr>
        <w:t>- творческий подход, оригинальность авторской идеи 0-5 баллов;</w:t>
      </w:r>
    </w:p>
    <w:p w14:paraId="3E0713A1">
      <w:pPr>
        <w:jc w:val="both"/>
        <w:rPr>
          <w:sz w:val="28"/>
          <w:szCs w:val="28"/>
        </w:rPr>
      </w:pPr>
      <w:r>
        <w:rPr>
          <w:sz w:val="28"/>
          <w:szCs w:val="28"/>
        </w:rPr>
        <w:t>- интерактив – 0-5 баллов.</w:t>
      </w:r>
    </w:p>
    <w:p w14:paraId="3088E4C6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Максимальное количество баллов – </w:t>
      </w:r>
      <w:r>
        <w:rPr>
          <w:b/>
          <w:bCs/>
          <w:sz w:val="28"/>
          <w:szCs w:val="28"/>
        </w:rPr>
        <w:t>20 баллов.</w:t>
      </w:r>
    </w:p>
    <w:p w14:paraId="0EBD5F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5.2.2. Критерии оценки «Представления проекта»</w:t>
      </w:r>
    </w:p>
    <w:p w14:paraId="11FB82CD">
      <w:pPr>
        <w:rPr>
          <w:sz w:val="28"/>
          <w:szCs w:val="28"/>
        </w:rPr>
      </w:pPr>
      <w:r>
        <w:rPr>
          <w:sz w:val="28"/>
          <w:szCs w:val="28"/>
        </w:rPr>
        <w:t>- полнота представления проектного замысла – 0-8 баллов;</w:t>
      </w:r>
    </w:p>
    <w:p w14:paraId="78D5AB91">
      <w:pPr>
        <w:rPr>
          <w:sz w:val="28"/>
          <w:szCs w:val="28"/>
        </w:rPr>
      </w:pPr>
      <w:r>
        <w:rPr>
          <w:sz w:val="28"/>
          <w:szCs w:val="28"/>
        </w:rPr>
        <w:t>- качество презентации проекта (форма изложения, оригинальность представления материалов проекта) – 0-6 баллов</w:t>
      </w:r>
    </w:p>
    <w:p w14:paraId="3823C340">
      <w:pPr>
        <w:rPr>
          <w:sz w:val="28"/>
          <w:szCs w:val="28"/>
        </w:rPr>
      </w:pPr>
      <w:r>
        <w:rPr>
          <w:sz w:val="28"/>
          <w:szCs w:val="28"/>
        </w:rPr>
        <w:t>- качество ответов на вопросы Жюри – 0-6 баллов</w:t>
      </w:r>
    </w:p>
    <w:p w14:paraId="4F06458A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Максимальное количество баллов – </w:t>
      </w:r>
      <w:r>
        <w:rPr>
          <w:b/>
          <w:bCs/>
          <w:sz w:val="28"/>
          <w:szCs w:val="28"/>
        </w:rPr>
        <w:t>20 баллов.</w:t>
      </w:r>
    </w:p>
    <w:p w14:paraId="3EA6B06D">
      <w:pPr>
        <w:rPr>
          <w:b/>
          <w:sz w:val="28"/>
          <w:szCs w:val="28"/>
        </w:rPr>
      </w:pPr>
    </w:p>
    <w:p w14:paraId="1BCB11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Подведение итогов и награждение.</w:t>
      </w:r>
    </w:p>
    <w:p w14:paraId="5870F5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6.1.  Победителей и призеров Конкурса определяет жюри по наибольшей сумме количества баллов за все этапы.</w:t>
      </w:r>
    </w:p>
    <w:p w14:paraId="0079C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6.2. Победители и призеры Конкурса, занявшие призовые места награждаются дипломами и памятными подарками. </w:t>
      </w:r>
    </w:p>
    <w:p w14:paraId="5C2AB3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6.3. Жюри оставляет за собой право:</w:t>
      </w:r>
    </w:p>
    <w:p w14:paraId="6D343D3D">
      <w:pPr>
        <w:ind w:firstLine="709"/>
        <w:jc w:val="both"/>
        <w:rPr>
          <w:sz w:val="28"/>
        </w:rPr>
      </w:pPr>
      <w:r>
        <w:rPr>
          <w:sz w:val="28"/>
        </w:rPr>
        <w:t xml:space="preserve">- присуждать не все призовые места; </w:t>
      </w:r>
    </w:p>
    <w:p w14:paraId="081E4460">
      <w:pPr>
        <w:ind w:firstLine="709"/>
        <w:jc w:val="both"/>
        <w:rPr>
          <w:sz w:val="32"/>
          <w:szCs w:val="28"/>
        </w:rPr>
      </w:pPr>
      <w:r>
        <w:rPr>
          <w:sz w:val="28"/>
        </w:rPr>
        <w:t xml:space="preserve">- дополнительно присуждать специальные номинации.   </w:t>
      </w:r>
    </w:p>
    <w:p w14:paraId="258A3507">
      <w:pPr>
        <w:widowControl w:val="0"/>
        <w:tabs>
          <w:tab w:val="left" w:pos="6240"/>
        </w:tabs>
        <w:autoSpaceDE w:val="0"/>
        <w:autoSpaceDN w:val="0"/>
        <w:adjustRightInd w:val="0"/>
        <w:ind w:right="284"/>
        <w:rPr>
          <w:sz w:val="28"/>
          <w:szCs w:val="28"/>
        </w:rPr>
      </w:pPr>
    </w:p>
    <w:p w14:paraId="7911F508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546992"/>
    <w:multiLevelType w:val="multilevel"/>
    <w:tmpl w:val="0E54699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D10F2"/>
    <w:multiLevelType w:val="multilevel"/>
    <w:tmpl w:val="2FCD10F2"/>
    <w:lvl w:ilvl="0" w:tentative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600" w:hanging="37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">
    <w:nsid w:val="47234771"/>
    <w:multiLevelType w:val="multilevel"/>
    <w:tmpl w:val="47234771"/>
    <w:lvl w:ilvl="0" w:tentative="0">
      <w:start w:val="1"/>
      <w:numFmt w:val="decimal"/>
      <w:lvlText w:val="%1"/>
      <w:lvlJc w:val="left"/>
      <w:pPr>
        <w:ind w:left="456" w:hanging="456"/>
      </w:pPr>
      <w:rPr>
        <w:rFonts w:hint="default"/>
        <w:b/>
      </w:rPr>
    </w:lvl>
    <w:lvl w:ilvl="1" w:tentative="0">
      <w:start w:val="1"/>
      <w:numFmt w:val="decimal"/>
      <w:lvlText w:val="%1.%2"/>
      <w:lvlJc w:val="left"/>
      <w:pPr>
        <w:ind w:left="804" w:hanging="456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416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2124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472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318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528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236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94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9502B"/>
    <w:rsid w:val="1C09502B"/>
    <w:rsid w:val="575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5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2024-08-12T11:34:00Z</dcterms:created>
  <dc:creator>natur</dc:creator>
  <cp:lastModifiedBy>natur</cp:lastModifiedBy>
  <dcterms:modified xsi:type="dcterms:W3CDTF">2024-08-20T06:38:17Z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AF5A195F41E242CC85DCAAD53F01C2DA_11</vt:lpwstr>
  </property>
</Properties>
</file>